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Ice Cream Way</w:t>
      </w:r>
    </w:p>
    <w:p w:rsidR="00000000" w:rsidDel="00000000" w:rsidP="00000000" w:rsidRDefault="00000000" w:rsidRPr="00000000">
      <w:pPr>
        <w:pBdr/>
        <w:contextualSpacing w:val="0"/>
        <w:rPr/>
      </w:pPr>
      <w:r w:rsidDel="00000000" w:rsidR="00000000" w:rsidRPr="00000000">
        <w:rPr>
          <w:rtl w:val="0"/>
        </w:rPr>
        <w:t xml:space="preserve">In Ice Cream Way, you need to combine resources to create ones of higher value. Ice Cream Way is a classic match 3 game, where you’ll need to combine cows for milk, milk for mixers and mixers for cone. It’s vital that you make use of your finest planning skills so your tiles go to the right place, with new resources taking the place of lesser valuable ones. You can put resources on hold in storage lockers for later if you need to, and you can use points for extras like clearing tiles automatically if you do make errors. Why not place Ice Cream Way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