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Loot the King</w:t>
      </w:r>
    </w:p>
    <w:p w:rsidR="00000000" w:rsidDel="00000000" w:rsidP="00000000" w:rsidRDefault="00000000" w:rsidRPr="00000000">
      <w:pPr>
        <w:pBdr/>
        <w:contextualSpacing w:val="0"/>
        <w:rPr/>
      </w:pPr>
      <w:r w:rsidDel="00000000" w:rsidR="00000000" w:rsidRPr="00000000">
        <w:rPr>
          <w:rtl w:val="0"/>
        </w:rPr>
        <w:t xml:space="preserve">Do you have what it takes to claim victory in Loot the King? If so, why not try it out for yourself right now? The game requires you to emulate Robin Hood and take as much as you can from the King and redistribute the wealth to the poor. More and more people across the world are putting their skills to the test in Loot the King, so why wait any longer to join them? The poor are begging for your help, so if you’re ready to spread the wealth and wish to be their saviour, play Loot the King online right now. </w:t>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