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RGB Trucker</w:t>
      </w:r>
    </w:p>
    <w:p w:rsidR="00000000" w:rsidDel="00000000" w:rsidP="00000000" w:rsidRDefault="00000000" w:rsidRPr="00000000">
      <w:pPr>
        <w:pBdr/>
        <w:contextualSpacing w:val="0"/>
        <w:rPr/>
      </w:pPr>
      <w:r w:rsidDel="00000000" w:rsidR="00000000" w:rsidRPr="00000000">
        <w:rPr>
          <w:rtl w:val="0"/>
        </w:rPr>
        <w:t xml:space="preserve">In the logic puzzle RGB Trucker, your job is to deliver cargo using a same-coloured truck to the right factory. Although this may seem straightforward, roads can’t be used be trucks once another one has driven down them. You can cut across another route at a junction but you need to make sure crashes don’t occur and will have to think carefully to find appropriate routes to get to the next level. There are 40 challenging puzzles to solve in RGB Trucker online. Are you confident you can get the cargo to its destination safely? Then play RGB Trucker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