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Mahjong Adventure</w:t>
      </w:r>
    </w:p>
    <w:p w:rsidR="00000000" w:rsidDel="00000000" w:rsidP="00000000" w:rsidRDefault="00000000" w:rsidRPr="00000000">
      <w:pPr>
        <w:pBdr/>
        <w:contextualSpacing w:val="0"/>
        <w:rPr/>
      </w:pPr>
      <w:r w:rsidDel="00000000" w:rsidR="00000000" w:rsidRPr="00000000">
        <w:rPr>
          <w:rtl w:val="0"/>
        </w:rPr>
        <w:t xml:space="preserve">Are you ready to play the classic Chinese game Mah Jong? If so, why not get started with Mahjong Adventure online today. In the game, your task is to match pairs of tiles so you can clear the playing field, but don’t expect it to be easy as you can only choose from free tiles. There are hours of challenging fun to be derived from Mahjong Adventure and forty levels to work your way through which, as you may expect, just get tougher and tougher. Solve puzzles in a given time frame and you can get up to three stars per level. Why not play Mahjong Adventure right now?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bookmarkStart w:colFirst="0" w:colLast="0" w:name="_gjdgxs" w:id="0"/>
      <w:bookmarkEnd w:id="0"/>
      <w:r w:rsidDel="00000000" w:rsidR="00000000" w:rsidRPr="00000000">
        <w:rPr>
          <w:b w:val="1"/>
          <w:rtl w:val="0"/>
        </w:rPr>
        <w:t xml:space="preserve">?</w:t>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